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4247"/>
        <w:gridCol w:w="1584"/>
      </w:tblGrid>
      <w:tr>
        <w:trPr>
          <w:trHeight w:val="69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247" w:type="auto"/>
            <w:textDirection w:val="lrTb"/>
            <w:vAlign w:val="top"/>
          </w:tcPr>
          <w:p>
            <w:pPr>
              <w:ind w:right="0" w:left="77" w:firstLine="0"/>
              <w:spacing w:before="0" w:after="0" w:line="240" w:lineRule="auto"/>
              <w:jc w:val="left"/>
              <w:rPr>
                <w:b w:val="true"/>
                <w:color w:val="#000000"/>
                <w:sz w:val="24"/>
                <w:lang w:val="cs-CZ"/>
                <w:spacing w:val="-2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4"/>
                <w:lang w:val="cs-CZ"/>
                <w:spacing w:val="-2"/>
                <w:w w:val="105"/>
                <w:strike w:val="false"/>
                <w:vertAlign w:val="baseline"/>
                <w:rFonts w:ascii="Arial" w:hAnsi="Arial"/>
              </w:rPr>
              <w:t xml:space="preserve">Svazek obcí Horní Labe, Hostinné</w:t>
            </w:r>
          </w:p>
          <w:p>
            <w:pPr>
              <w:ind w:right="0" w:left="77" w:firstLine="0"/>
              <w:spacing w:before="18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Arial" w:hAnsi="Arial"/>
              </w:rPr>
              <w:t xml:space="preserve">Rozpo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Arial" w:hAnsi="Arial"/>
              </w:rPr>
              <w:t xml:space="preserve">čtové opatření č. 3/2020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831" w:type="auto"/>
            <w:textDirection w:val="lrTb"/>
            <w:vAlign w:val="top"/>
          </w:tcPr>
          <w:p>
            <w:pPr>
              <w:ind w:right="245" w:left="0"/>
              <w:spacing w:before="108" w:after="0" w:line="240" w:lineRule="auto"/>
              <w:jc w:val="left"/>
            </w:pPr>
            <w:r>
              <w:drawing>
                <wp:inline>
                  <wp:extent cx="850265" cy="34163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196" w:line="20" w:lineRule="exact"/>
      </w:pPr>
    </w:p>
    <w:p>
      <w:pPr>
        <w:spacing w:before="4" w:after="0" w:line="20" w:lineRule="exact"/>
      </w:pPr>
    </w:p>
    <w:tbl>
      <w:tblPr>
        <w:jc w:val="left"/>
        <w:tblInd w:w="24" w:type="dxa"/>
        <w:tblLayout w:type="fixed"/>
        <w:tblCellMar>
          <w:left w:w="0" w:type="dxa"/>
          <w:right w:w="0" w:type="dxa"/>
        </w:tblCellMar>
      </w:tblPr>
      <w:tblGrid>
        <w:gridCol w:w="3960"/>
        <w:gridCol w:w="1277"/>
        <w:gridCol w:w="1085"/>
        <w:gridCol w:w="1152"/>
        <w:gridCol w:w="1123"/>
        <w:gridCol w:w="1277"/>
        <w:gridCol w:w="5909"/>
      </w:tblGrid>
      <w:tr>
        <w:trPr>
          <w:trHeight w:val="427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bottom"/>
          </w:tcPr>
          <w:p>
            <w:pPr>
              <w:ind w:right="0" w:left="39" w:firstLine="0"/>
              <w:spacing w:before="144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P</w:t>
            </w: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říjmy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Calibri" w:hAnsi="Calibri"/>
              </w:rPr>
              <w:t xml:space="preserve">Schválený rozpo</w:t>
              <w:br/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Calibri" w:hAnsi="Calibri"/>
              </w:rPr>
              <w:t xml:space="preserve">čet
</w:t>
              <w:br/>
            </w:r>
            <w:r>
              <w:rPr>
                <w:color w:val="#000000"/>
                <w:sz w:val="15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2020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92D050" w:fill="#92D050"/>
          </w:tcPr>
          <w:p>
            <w:pPr>
              <w:ind w:right="124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RO </w:t>
            </w:r>
            <w:r>
              <w:rPr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č.1/2020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  <w:shd w:val="clear" w:color="#92D050" w:fill="#92D050"/>
          </w:tcPr>
          <w:p>
            <w:pPr>
              <w:ind w:right="124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RO </w:t>
            </w:r>
            <w:r>
              <w:rPr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č.2/2020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12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RO </w:t>
            </w: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č.3/2020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top"/>
            <w:shd w:val="clear" w:color="#C5D9F0" w:fill="#C5D9F0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Rozpo</w:t>
              <w:br/>
            </w: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čet 2020
</w:t>
              <w:br/>
            </w:r>
            <w:r>
              <w:rPr>
                <w:b w:val="true"/>
                <w:color w:val="#000000"/>
                <w:sz w:val="15"/>
                <w:lang w:val="cs-CZ"/>
                <w:spacing w:val="-8"/>
                <w:w w:val="110"/>
                <w:strike w:val="false"/>
                <w:vertAlign w:val="baseline"/>
                <w:rFonts w:ascii="Calibri" w:hAnsi="Calibri"/>
              </w:rPr>
              <w:t xml:space="preserve">po zm</w:t>
            </w:r>
            <w:r>
              <w:rPr>
                <w:b w:val="true"/>
                <w:color w:val="#000000"/>
                <w:sz w:val="15"/>
                <w:lang w:val="cs-CZ"/>
                <w:spacing w:val="-8"/>
                <w:w w:val="110"/>
                <w:strike w:val="false"/>
                <w:vertAlign w:val="baseline"/>
                <w:rFonts w:ascii="Calibri" w:hAnsi="Calibri"/>
              </w:rPr>
              <w:t xml:space="preserve">ěnách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257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5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Poznámka</w:t>
            </w:r>
          </w:p>
        </w:tc>
      </w:tr>
      <w:tr>
        <w:trPr>
          <w:trHeight w:val="226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Členské p</w:t>
            </w: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řísp</w:t>
            </w: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ěvky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203 130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104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203 234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i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i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dle po</w:t>
            </w:r>
            <w:r>
              <w:rPr>
                <w:i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čtu obyvatel k 1.1.2020 (fakturace v dubnu 2020)</w:t>
            </w:r>
          </w:p>
        </w:tc>
      </w:tr>
      <w:tr>
        <w:trPr>
          <w:trHeight w:val="23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Pov</w:t>
            </w:r>
            <w:r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ě</w:t>
            </w:r>
            <w:r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řenec GDPR v</w:t>
            </w:r>
            <w:r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četn</w:t>
            </w:r>
            <w:r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ě právních služeb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211 800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211 800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i w:val="true"/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1 100 za OÚ + 250 za PO / m</w:t>
            </w:r>
            <w:r>
              <w:rPr>
                <w:i w:val="true"/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ěsíc / obec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P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říjmy z úrok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ů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5 000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5 000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úrok na spo</w:t>
            </w:r>
            <w:r>
              <w:rPr>
                <w:color w:val="#000000"/>
                <w:sz w:val="13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řícím ú</w:t>
            </w:r>
            <w:r>
              <w:rPr>
                <w:color w:val="#000000"/>
                <w:sz w:val="13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čtu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FCE9D9" w:fill="#FCE9D9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CSS mzdy za 4.Q. 2019 (prodloužení projektu)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  <w:shd w:val="clear" w:color="#FCE9D9" w:fill="#FCE9D9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74 280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FCE9D9" w:fill="#FCE9D9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235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FCE9D9" w:fill="#FCE9D9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FCE9D9" w:fill="#FCE9D9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74 515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FCE9D9" w:fill="#FCE9D9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SMO dotace 100% na 2,1 úvazku mínus zálohy = ŽOP za 4.Q.2019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DAEDF3" w:fill="#DAEDF3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CSS mzda 2. prodloužení projektu 3-9/2020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DAEDF3" w:fill="#DAEDF3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DAEDF3" w:fill="#DAEDF3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292 800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  <w:shd w:val="clear" w:color="#DAEDF3" w:fill="#DAEDF3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FF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FF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-39 900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DAEDF3" w:fill="#DAEDF3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252 900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SMO dotace 95% na 1 úvazek</w:t>
            </w:r>
          </w:p>
        </w:tc>
      </w:tr>
      <w:tr>
        <w:trPr>
          <w:trHeight w:val="23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MAP II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2 470 000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2 470 000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MAP II - 2x ŽOP (2* 1.235.000)</w:t>
            </w:r>
          </w:p>
        </w:tc>
      </w:tr>
      <w:tr>
        <w:trPr>
          <w:trHeight w:val="23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MAP II spoluú</w:t>
            </w:r>
            <w:r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čast od obcí v projektu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140 000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140 000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celkem za projekt 559.883,52 K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č/4 = 139.970,90 K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č ro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čn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ě od 2020 do 2023</w:t>
            </w:r>
          </w:p>
        </w:tc>
      </w:tr>
      <w:tr>
        <w:trPr>
          <w:trHeight w:val="23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E3DFEB" w:fill="#E3DFEB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PS (P</w:t>
            </w:r>
            <w:r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řemýšlíme strategicky)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E3DFEB" w:fill="#E3DFE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E3DFEB" w:fill="#E3DFEB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4 065 095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E3DFEB" w:fill="#E3DFE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E3DFEB" w:fill="#E3DFEB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4 065 095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E3DFEB" w:fill="#E3DFEB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záloha (95% z 2.852.698,05) + 1x ŽOP (zálohov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ě 95% z 1.426.349,02)</w:t>
            </w:r>
          </w:p>
        </w:tc>
      </w:tr>
      <w:tr>
        <w:trPr>
          <w:trHeight w:val="23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E3DFEB" w:fill="#E3DFEB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PS spoluú</w:t>
            </w: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čast od obcí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E3DFEB" w:fill="#E3DFE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E3DFEB" w:fill="#E3DFEB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237 725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E3DFEB" w:fill="#E3DFE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E3DFEB" w:fill="#E3DFEB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237 725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E3DFEB" w:fill="#E3DFEB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zálohohov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ě, pom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ěrov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 (475.450 K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 projekt)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Profesionalizace svazku 2020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85 000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85 000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2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2"/>
                <w:w w:val="100"/>
                <w:strike w:val="false"/>
                <w:vertAlign w:val="baseline"/>
                <w:rFonts w:ascii="Calibri" w:hAnsi="Calibri"/>
              </w:rPr>
              <w:t xml:space="preserve">dotace KHK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Lyža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řské trasy 2020/2021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140 000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140 000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2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2"/>
                <w:w w:val="100"/>
                <w:strike w:val="false"/>
                <w:vertAlign w:val="baseline"/>
                <w:rFonts w:ascii="Calibri" w:hAnsi="Calibri"/>
              </w:rPr>
              <w:t xml:space="preserve">dotace KHK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FFFF00" w:fill="#FFFF00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P</w:t>
            </w: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řísp</w:t>
            </w: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ěvek financ. projektu lyž.b</w:t>
            </w: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ěž.tratí 2019/2020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17 000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95 677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FFFF00" w:fill="#FFFF0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112 677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FFFF00" w:fill="#FFFF00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od TJ a obcí + nové zna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čení LBT a mapa</w:t>
            </w:r>
          </w:p>
        </w:tc>
      </w:tr>
      <w:tr>
        <w:trPr>
          <w:trHeight w:val="22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FFFF00" w:fill="#FFFF00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Zvýšení atraktivity LBT pod </w:t>
            </w: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Černou horou 2020 (LK)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15 473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FFFF00" w:fill="#FFFF0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15 473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FFFF00" w:fill="#FFFF00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3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3"/>
                <w:w w:val="100"/>
                <w:strike w:val="false"/>
                <w:vertAlign w:val="baseline"/>
                <w:rFonts w:ascii="Calibri" w:hAnsi="Calibri"/>
              </w:rPr>
              <w:t xml:space="preserve">dotace LK - aktualizace WEBu SOHL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FFFF00" w:fill="#FFFF00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Pojiš</w:t>
            </w: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ťovna - oprava pronaj. auta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57 490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FFFF00" w:fill="#FFFF0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57 490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FFFF00" w:fill="#FFFF00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p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říjem od pojiš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ťovny za opravu vozu</w:t>
            </w:r>
          </w:p>
        </w:tc>
      </w:tr>
      <w:tr>
        <w:trPr>
          <w:trHeight w:val="226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FFFF00" w:fill="#FFFF00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Hospodá</w:t>
            </w: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řská </w:t>
            </w: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činnost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30 000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80 000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FFFF00" w:fill="#FFFF0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150 000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3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D9D9D9" w:fill="#D9D9D9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P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říjmy celkem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  <w:shd w:val="clear" w:color="#D9D9D9" w:fill="#D9D9D9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7"/>
                <w:lang w:val="cs-CZ"/>
                <w:spacing w:val="-1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-10"/>
                <w:w w:val="110"/>
                <w:strike w:val="false"/>
                <w:vertAlign w:val="baseline"/>
                <w:rFonts w:ascii="Arial" w:hAnsi="Arial"/>
              </w:rPr>
              <w:t xml:space="preserve">3 124 210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92D050" w:fill="#92D05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4 625 855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  <w:shd w:val="clear" w:color="#92D050" w:fill="#92D05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287 204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7"/>
                <w:lang w:val="cs-CZ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188 640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C5D9F0" w:fill="#C5D9F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8 225 909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top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31" w:hRule="exact"/>
        </w:trPr>
        <w:tc>
          <w:tcPr>
            <w:gridSpan w:val="6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3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Výdaje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Calibri" w:hAnsi="Calibri"/>
              </w:rPr>
              <w:t xml:space="preserve">Částka K</w:t>
            </w:r>
            <w:r>
              <w:rPr>
                <w:color w:val="#000000"/>
                <w:sz w:val="15"/>
                <w:lang w:val="cs-CZ"/>
                <w:spacing w:val="0"/>
                <w:w w:val="10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92D050" w:fill="#92D050"/>
          </w:tcPr>
          <w:p>
            <w:pPr>
              <w:ind w:right="214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Částka K</w:t>
            </w:r>
            <w:r>
              <w:rPr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  <w:shd w:val="clear" w:color="#92D050" w:fill="#92D050"/>
          </w:tcPr>
          <w:p>
            <w:pPr>
              <w:ind w:right="214" w:left="0" w:firstLine="0"/>
              <w:spacing w:before="0" w:after="0" w:line="240" w:lineRule="auto"/>
              <w:jc w:val="right"/>
              <w:rPr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Částka K</w:t>
            </w:r>
            <w:r>
              <w:rPr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21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Částka K</w:t>
            </w: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C5D9F0" w:fill="#C5D9F0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Částka K</w:t>
            </w: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cs-CZ"/>
                <w:spacing w:val="-8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5"/>
                <w:lang w:val="cs-CZ"/>
                <w:spacing w:val="-8"/>
                <w:w w:val="110"/>
                <w:strike w:val="false"/>
                <w:vertAlign w:val="baseline"/>
                <w:rFonts w:ascii="Calibri" w:hAnsi="Calibri"/>
              </w:rPr>
              <w:t xml:space="preserve">Poznámka</w:t>
            </w:r>
          </w:p>
        </w:tc>
      </w:tr>
      <w:tr>
        <w:trPr>
          <w:trHeight w:val="226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Bankovní poplatky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4 000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4 000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8 000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v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četn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 zdan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ění</w:t>
            </w:r>
          </w:p>
        </w:tc>
      </w:tr>
      <w:tr>
        <w:trPr>
          <w:trHeight w:val="22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Lyža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řské trasy 2019/2020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138 000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138 000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výdaje v sezón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ě 2019/2020 (faktura TJ SVS Krkonoše z.s. 128.000 +10.000 DPP)</w:t>
            </w:r>
          </w:p>
        </w:tc>
      </w:tr>
      <w:tr>
        <w:trPr>
          <w:trHeight w:val="24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FFFF00" w:fill="#FFFF00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Zvýšení atraktivity LBT pod </w:t>
            </w: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Černou horou 2020 (LK)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111 150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FFFF00" w:fill="#FFFF0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111 150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FFFF00" w:fill="#FFFF00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aktualizace WEBu SOHL (34.400 K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 + 76.750 K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 ukazatele + tisk map)</w:t>
            </w:r>
          </w:p>
        </w:tc>
      </w:tr>
      <w:tr>
        <w:trPr>
          <w:trHeight w:val="25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FFFF00" w:fill="#FFFF00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Oprava pronajatého auta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57 490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FFFF00" w:fill="#FFFF0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57 490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FFFF00" w:fill="#FFFF00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m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ěsto Hostinné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Mzda asistentka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24 000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24 000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2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Profesionalizace svazku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45 000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45 000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2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2"/>
                <w:w w:val="100"/>
                <w:strike w:val="false"/>
                <w:vertAlign w:val="baseline"/>
                <w:rFonts w:ascii="Calibri" w:hAnsi="Calibri"/>
              </w:rPr>
              <w:t xml:space="preserve">PC programy poplatky, audit, atd.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Mzda ú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četní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48 000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48 000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Webové stránky SOHL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2 500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2 500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1"/>
                <w:w w:val="10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1"/>
                <w:w w:val="100"/>
                <w:strike w:val="false"/>
                <w:vertAlign w:val="baseline"/>
                <w:rFonts w:ascii="Calibri" w:hAnsi="Calibri"/>
              </w:rPr>
              <w:t xml:space="preserve">150 bez DPH</w:t>
            </w:r>
            <w:r>
              <w:rPr>
                <w:i w:val="true"/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 (bude 300 bez DPH (tj. 363 K</w:t>
            </w:r>
            <w:r>
              <w:rPr>
                <w:i w:val="true"/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č x 12 rok 2021)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Pronájem PC a vybavení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6 000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6 000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500 K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 x 12 m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ěs.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Pronájem nebyt. prostor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6 000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18 000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24 000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500 K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č x 12 m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ěs. + 3.000 x 6 m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ěsíc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ů (nová kancelá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ř MAP II nájem v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č. služeb)</w:t>
            </w:r>
          </w:p>
        </w:tc>
      </w:tr>
      <w:tr>
        <w:trPr>
          <w:trHeight w:val="22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Služby k nájmu (vodné, sto</w:t>
            </w: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čné, energie, tel.poplatky)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6 000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6 000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500 K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 x 12 m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ěs.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Pronájem vozu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6 000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6 000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500 K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č x 12 m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ěs.; </w:t>
            </w:r>
            <w:r>
              <w:rPr>
                <w:i w:val="true"/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rok 2018 - 3 500 K</w:t>
            </w:r>
            <w:r>
              <w:rPr>
                <w:i w:val="true"/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FCE9D9" w:fill="#FCE9D9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SOHL (CSS - udržitelnost) mzdy 12/2019; 1-2/ 2020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  <w:shd w:val="clear" w:color="#FCE9D9" w:fill="#FCE9D9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788 460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FCE9D9" w:fill="#FCE9D9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6F2F9F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color w:val="#6F2F9F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-525 432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FCE9D9" w:fill="#FCE9D9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FCE9D9" w:fill="#FCE9D9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263 028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FCE9D9" w:fill="#FCE9D9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1,8 úvazku (3x)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DAEDF3" w:fill="#DAEDF3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SOHL (CSS- 2.prodloužení) mzdy </w:t>
            </w:r>
            <w:r>
              <w:rPr>
                <w:color w:val="#000000"/>
                <w:sz w:val="16"/>
                <w:lang w:val="cs-CZ"/>
                <w:spacing w:val="-2"/>
                <w:w w:val="105"/>
                <w:strike w:val="false"/>
                <w:vertAlign w:val="baseline"/>
                <w:rFonts w:ascii="Calibri" w:hAnsi="Calibri"/>
              </w:rPr>
              <w:t xml:space="preserve">3 4-11/2020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DAEDF3" w:fill="#DAEDF3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DAEDF3" w:fill="#DAEDF3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329 400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  <w:shd w:val="clear" w:color="#DAEDF3" w:fill="#DAEDF3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7 800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DAEDF3" w:fill="#DAEDF3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337 200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DAEDF3" w:fill="#DAEDF3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1 úvazek (8x)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DAEDF3" w:fill="#DAEDF3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CSS spoluú</w:t>
            </w: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čast 1. a 2. prodloužení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  <w:shd w:val="clear" w:color="#DAEDF3" w:fill="#DAEDF3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29 040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DAEDF3" w:fill="#DAEDF3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29 275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  <w:shd w:val="clear" w:color="#DAEDF3" w:fill="#DAEDF3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6F2F9F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6F2F9F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-20 941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DAEDF3" w:fill="#DAEDF3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37 374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DAEDF3" w:fill="#DAEDF3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fakturovali 37.373,27 v únoru 2020 za rok 2019 a 1-2/2020</w:t>
            </w:r>
          </w:p>
        </w:tc>
      </w:tr>
      <w:tr>
        <w:trPr>
          <w:trHeight w:val="22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FFFF00" w:fill="#FFFF00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SOHL mzdy (GDPR; právní + ostatní služby)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201 621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40 000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FFFF00" w:fill="#FFFF0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241 621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FFFF00" w:fill="#FFFF00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mzdové náklady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Mzdy MAP II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1 674 732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1 674 732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mzdové náklady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Mzdy MAP II (experti)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330 372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330 372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externisté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paušál MAP II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802 042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802 042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školení, tel., tonery, kanc.pot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řeby, atd.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E3DFEB" w:fill="#E3DFEB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PS (p</w:t>
            </w:r>
            <w:r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řemýšlíme strategicky) mzdy smlouva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E3DFEB" w:fill="#E3DFE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E3DFEB" w:fill="#E3DFEB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572 850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E3DFEB" w:fill="#E3DFE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E3DFEB" w:fill="#E3DFEB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572 850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E3DFEB" w:fill="#E3DFEB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mzdové náklady na 1,5 úvazku (3-11/2020)</w:t>
            </w:r>
          </w:p>
        </w:tc>
      </w:tr>
      <w:tr>
        <w:trPr>
          <w:trHeight w:val="22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FFFF00" w:fill="#FFFF00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PS (p</w:t>
            </w:r>
            <w:r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řemýšlíme strategicky) DPP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E3DFEB" w:fill="#E3DFE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E3DFEB" w:fill="#E3DFEB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138 750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E3DFEB" w:fill="#E3DFE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6F2F9F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6F2F9F"/>
                <w:sz w:val="16"/>
                <w:lang w:val="cs-CZ"/>
                <w:spacing w:val="0"/>
                <w:w w:val="105"/>
                <w:strike w:val="false"/>
                <w:vertAlign w:val="baseline"/>
                <w:rFonts w:ascii="Calibri" w:hAnsi="Calibri"/>
              </w:rPr>
              <w:t xml:space="preserve">-40 000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FFFF00" w:fill="#FFFF0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98 750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E3DFEB" w:fill="#E3DFEB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mzdové náklady ú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četní, administrátor VZ </w:t>
            </w:r>
            <w:r>
              <w:rPr>
                <w:b w:val="true"/>
                <w:color w:val="#000000"/>
                <w:sz w:val="13"/>
                <w:lang w:val="cs-CZ"/>
                <w:spacing w:val="-2"/>
                <w:w w:val="115"/>
                <w:strike w:val="false"/>
                <w:vertAlign w:val="baseline"/>
                <w:rFonts w:ascii="Calibri" w:hAnsi="Calibri"/>
              </w:rPr>
              <w:t xml:space="preserve">částe</w:t>
            </w:r>
            <w:r>
              <w:rPr>
                <w:b w:val="true"/>
                <w:color w:val="#000000"/>
                <w:sz w:val="13"/>
                <w:lang w:val="cs-CZ"/>
                <w:spacing w:val="-2"/>
                <w:w w:val="115"/>
                <w:strike w:val="false"/>
                <w:vertAlign w:val="baseline"/>
                <w:rFonts w:ascii="Calibri" w:hAnsi="Calibri"/>
              </w:rPr>
              <w:t xml:space="preserve">čn</w:t>
            </w:r>
            <w:r>
              <w:rPr>
                <w:b w:val="true"/>
                <w:color w:val="#000000"/>
                <w:sz w:val="13"/>
                <w:lang w:val="cs-CZ"/>
                <w:spacing w:val="-2"/>
                <w:w w:val="115"/>
                <w:strike w:val="false"/>
                <w:vertAlign w:val="baseline"/>
                <w:rFonts w:ascii="Calibri" w:hAnsi="Calibri"/>
              </w:rPr>
              <w:t xml:space="preserve">ě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, organizátor vzd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ělávání (3-11/2020)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FFFF00" w:fill="#FFFF00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PS (p</w:t>
            </w:r>
            <w:r>
              <w:rPr>
                <w:b w:val="true"/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řemýšlíme strategicky) paušál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E3DFEB" w:fill="#E3DFE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E3DFEB" w:fill="#E3DFEB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270 860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E3DFEB" w:fill="#E3DFE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150 000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FFFF00" w:fill="#FFFF0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420 860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E3DFEB" w:fill="#E3DFEB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DRAG, notebook, </w:t>
            </w:r>
            <w:r>
              <w:rPr>
                <w:b w:val="true"/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VZ administr.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, vzd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ělávání,ob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čerstvení, tonery, kanc.pot</w:t>
            </w: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řeby, cestovné....atd.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E3DFEB" w:fill="#E3DFEB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PS (p</w:t>
            </w:r>
            <w:r>
              <w:rPr>
                <w:color w:val="#000000"/>
                <w:sz w:val="16"/>
                <w:lang w:val="cs-CZ"/>
                <w:spacing w:val="-3"/>
                <w:w w:val="110"/>
                <w:strike w:val="false"/>
                <w:vertAlign w:val="baseline"/>
                <w:rFonts w:ascii="Calibri" w:hAnsi="Calibri"/>
              </w:rPr>
              <w:t xml:space="preserve">řemýšlíme strategicky) služby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E3DFEB" w:fill="#E3DFE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E3DFEB" w:fill="#E3DFEB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2 500 000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E3DFEB" w:fill="#E3DFEB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E3DFEB" w:fill="#E3DFEB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2 500 000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E3DFEB" w:fill="#E3DFEB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zpracované dokumenty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FFFF00" w:fill="#FFFF00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MAP III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60 000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FFFF00" w:fill="#FFFF0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60 000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  <w:shd w:val="clear" w:color="#FFFF00" w:fill="#FFFF00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žádost o dotaci MPSV; projekt za cca 2.118.tis K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č (5% spoluú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čast cca 106.tis K</w:t>
            </w:r>
            <w:r>
              <w:rPr>
                <w:color w:val="#000000"/>
                <w:sz w:val="13"/>
                <w:lang w:val="cs-CZ"/>
                <w:spacing w:val="-1"/>
                <w:w w:val="110"/>
                <w:strike w:val="false"/>
                <w:vertAlign w:val="baseline"/>
                <w:rFonts w:ascii="Calibri" w:hAnsi="Calibri"/>
              </w:rPr>
              <w:t xml:space="preserve">č)</w:t>
            </w:r>
          </w:p>
        </w:tc>
      </w:tr>
      <w:tr>
        <w:trPr>
          <w:trHeight w:val="22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Zákonné pojišt</w:t>
            </w: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ění z mezd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10 000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i w:val="true"/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Kooperativa</w:t>
            </w:r>
          </w:p>
        </w:tc>
      </w:tr>
      <w:tr>
        <w:trPr>
          <w:trHeight w:val="22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Propagace svazku - paušál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30 000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30 000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center"/>
          </w:tcPr>
          <w:p>
            <w:pPr>
              <w:ind w:right="0" w:left="29" w:firstLine="0"/>
              <w:spacing w:before="0" w:after="0" w:line="240" w:lineRule="auto"/>
              <w:jc w:val="left"/>
              <w:rPr>
                <w:i w:val="true"/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i w:val="true"/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propaga</w:t>
            </w:r>
            <w:r>
              <w:rPr>
                <w:i w:val="true"/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ční mat., ob</w:t>
            </w:r>
            <w:r>
              <w:rPr>
                <w:i w:val="true"/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čerstvení ú</w:t>
            </w:r>
            <w:r>
              <w:rPr>
                <w:i w:val="true"/>
                <w:color w:val="#000000"/>
                <w:sz w:val="13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čast.setkání, cestovné, školení...</w:t>
            </w:r>
          </w:p>
        </w:tc>
      </w:tr>
      <w:tr>
        <w:trPr>
          <w:trHeight w:val="23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D9D9D9" w:fill="#D9D9D9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Arial" w:hAnsi="Arial"/>
              </w:rPr>
              <w:t xml:space="preserve">Výdaje celkem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  <w:shd w:val="clear" w:color="#D9D9D9" w:fill="#D9D9D9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7"/>
                <w:lang w:val="cs-CZ"/>
                <w:spacing w:val="-1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-10"/>
                <w:w w:val="110"/>
                <w:strike w:val="false"/>
                <w:vertAlign w:val="baseline"/>
                <w:rFonts w:ascii="Arial" w:hAnsi="Arial"/>
              </w:rPr>
              <w:t xml:space="preserve">4 013 767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92D050" w:fill="#92D05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3 315 703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  <w:shd w:val="clear" w:color="#92D050" w:fill="#92D05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146 859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7"/>
                <w:lang w:val="cs-CZ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378 640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C5D9F0" w:fill="#C5D9F0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7 854 969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5807" w:type="auto"/>
            <w:textDirection w:val="lrTb"/>
            <w:vAlign w:val="top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30" w:hRule="exact"/>
        </w:trPr>
        <w:tc>
          <w:tcPr>
            <w:gridSpan w:val="2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0" w:sz="0" w:color="#000000"/>
              <w:left w:val="single" w:sz="9" w:color="#000000"/>
              <w:right w:val="none" w:sz="0" w:color="#000000"/>
            </w:tcBorders>
            <w:tcW w:w="15807" w:type="auto"/>
            <w:textDirection w:val="lrTb"/>
            <w:vAlign w:val="top"/>
            <w:vMerge w:val="restart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230" w:hRule="exact"/>
        </w:trPr>
        <w:tc>
          <w:tcPr>
            <w:gridSpan w:val="2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  <w:shd w:val="clear" w:color="#DDD9C4" w:fill="#DDD9C4"/>
          </w:tcPr>
          <w:p>
            <w:pPr>
              <w:ind w:right="0" w:left="39" w:firstLine="0"/>
              <w:spacing w:before="0" w:after="0" w:line="240" w:lineRule="auto"/>
              <w:jc w:val="left"/>
              <w:tabs>
                <w:tab w:val="right" w:leader="none" w:pos="5199"/>
              </w:tabs>
              <w:rPr>
                <w:b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Výsledek</w:t>
            </w:r>
            <w:r>
              <w:rPr>
                <w:b w:val="true"/>
                <w:color w:val="#FF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ab/>
            </w:r>
            <w:r>
              <w:rPr>
                <w:b w:val="true"/>
                <w:color w:val="#FF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-889 557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DDD9C4" w:fill="#DDD9C4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7"/>
                <w:lang w:val="cs-CZ"/>
                <w:spacing w:val="-1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-10"/>
                <w:w w:val="110"/>
                <w:strike w:val="false"/>
                <w:vertAlign w:val="baseline"/>
                <w:rFonts w:ascii="Arial" w:hAnsi="Arial"/>
              </w:rPr>
              <w:t xml:space="preserve">1 310 152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  <w:shd w:val="clear" w:color="#DDD9C4" w:fill="#DDD9C4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7"/>
                <w:lang w:val="cs-CZ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140 345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DDD9C4" w:fill="#DDD9C4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FF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0000"/>
                <w:sz w:val="17"/>
                <w:lang w:val="cs-CZ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-190 000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  <w:shd w:val="clear" w:color="#DDD9C4" w:fill="#DDD9C4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7"/>
                <w:lang w:val="cs-CZ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7"/>
                <w:lang w:val="cs-CZ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370 940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9" w:color="#000000"/>
              <w:right w:val="none" w:sz="0" w:color="#000000"/>
            </w:tcBorders>
            <w:tcW w:w="15807" w:type="auto"/>
            <w:textDirection w:val="lrTb"/>
            <w:vAlign w:val="top"/>
            <w:vMerge w:val="continue"/>
          </w:tcPr>
          <w:p/>
        </w:tc>
      </w:tr>
      <w:tr>
        <w:trPr>
          <w:trHeight w:val="231" w:hRule="exact"/>
        </w:trPr>
        <w:tc>
          <w:tcPr>
            <w:gridSpan w:val="2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9" w:color="#000000"/>
              <w:right w:val="none" w:sz="0" w:color="#000000"/>
            </w:tcBorders>
            <w:tcW w:w="15807" w:type="auto"/>
            <w:textDirection w:val="lrTb"/>
            <w:vAlign w:val="top"/>
            <w:vMerge w:val="continue"/>
          </w:tcPr>
          <w:p/>
        </w:tc>
      </w:tr>
      <w:tr>
        <w:trPr>
          <w:trHeight w:val="437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  <w:shd w:val="clear" w:color="#DCE6F0" w:fill="#DCE6F0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i w:val="true"/>
                <w:color w:val="#000000"/>
                <w:sz w:val="17"/>
                <w:lang w:val="cs-CZ"/>
                <w:spacing w:val="-4"/>
                <w:w w:val="105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i w:val="true"/>
                <w:color w:val="#000000"/>
                <w:sz w:val="17"/>
                <w:lang w:val="cs-CZ"/>
                <w:spacing w:val="-4"/>
                <w:w w:val="105"/>
                <w:strike w:val="false"/>
                <w:vertAlign w:val="baseline"/>
                <w:rFonts w:ascii="Calibri" w:hAnsi="Calibri"/>
              </w:rPr>
              <w:t xml:space="preserve">Rekapitulace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  <w:shd w:val="clear" w:color="#DCE6F0" w:fill="#DCE6F0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Rozpo</w:t>
            </w: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čet 2020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  <w:shd w:val="clear" w:color="#92D050" w:fill="#92D050"/>
          </w:tcPr>
          <w:p>
            <w:pPr>
              <w:ind w:right="12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RO </w:t>
            </w: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č.1/2020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  <w:shd w:val="clear" w:color="#92D050" w:fill="#92D050"/>
          </w:tcPr>
          <w:p>
            <w:pPr>
              <w:ind w:right="12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RO </w:t>
            </w: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č.2/2020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  <w:shd w:val="clear" w:color="#FFFF00" w:fill="#FFFF00"/>
          </w:tcPr>
          <w:p>
            <w:pPr>
              <w:ind w:right="123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RO </w:t>
            </w: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č.36/2020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top"/>
            <w:shd w:val="clear" w:color="#C5D9F0" w:fill="#C5D9F0"/>
          </w:tcPr>
          <w:p>
            <w:pPr>
              <w:ind w:right="0" w:left="0" w:firstLine="0"/>
              <w:spacing w:before="0" w:after="0" w:line="264" w:lineRule="auto"/>
              <w:jc w:val="center"/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Rozpo</w:t>
              <w:br/>
            </w:r>
            <w:r>
              <w:rPr>
                <w:b w:val="true"/>
                <w:color w:val="#000000"/>
                <w:sz w:val="15"/>
                <w:lang w:val="cs-CZ"/>
                <w:spacing w:val="-6"/>
                <w:w w:val="110"/>
                <w:strike w:val="false"/>
                <w:vertAlign w:val="baseline"/>
                <w:rFonts w:ascii="Calibri" w:hAnsi="Calibri"/>
              </w:rPr>
              <w:t xml:space="preserve">čet 2020 po
</w:t>
              <w:br/>
            </w:r>
            <w:r>
              <w:rPr>
                <w:b w:val="true"/>
                <w:color w:val="#000000"/>
                <w:sz w:val="15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zm</w:t>
            </w:r>
            <w:r>
              <w:rPr>
                <w:b w:val="true"/>
                <w:color w:val="#000000"/>
                <w:sz w:val="15"/>
                <w:lang w:val="cs-CZ"/>
                <w:spacing w:val="0"/>
                <w:w w:val="110"/>
                <w:strike w:val="false"/>
                <w:vertAlign w:val="baseline"/>
                <w:rFonts w:ascii="Calibri" w:hAnsi="Calibri"/>
              </w:rPr>
              <w:t xml:space="preserve">ěnách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9" w:color="#000000"/>
              <w:right w:val="none" w:sz="0" w:color="#000000"/>
            </w:tcBorders>
            <w:tcW w:w="15807" w:type="auto"/>
            <w:textDirection w:val="lrTb"/>
            <w:vAlign w:val="top"/>
            <w:vMerge w:val="continue"/>
          </w:tcPr>
          <w:p/>
        </w:tc>
      </w:tr>
      <w:tr>
        <w:trPr>
          <w:trHeight w:val="22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P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říjmy celkem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3 124 210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4 625 855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287 204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188 640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8 225 909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9" w:color="#000000"/>
              <w:right w:val="none" w:sz="0" w:color="#000000"/>
            </w:tcBorders>
            <w:tcW w:w="15807" w:type="auto"/>
            <w:textDirection w:val="lrTb"/>
            <w:vAlign w:val="top"/>
            <w:vMerge w:val="continue"/>
          </w:tcPr>
          <w:p/>
        </w:tc>
      </w:tr>
      <w:tr>
        <w:trPr>
          <w:trHeight w:val="231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984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2"/>
                <w:w w:val="110"/>
                <w:strike w:val="false"/>
                <w:vertAlign w:val="baseline"/>
                <w:rFonts w:ascii="Calibri" w:hAnsi="Calibri"/>
              </w:rPr>
              <w:t xml:space="preserve">Výdaje celkem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4 013 767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3 315 703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146 859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378 640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7 854 969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9" w:color="#000000"/>
              <w:right w:val="none" w:sz="0" w:color="#000000"/>
            </w:tcBorders>
            <w:tcW w:w="15807" w:type="auto"/>
            <w:textDirection w:val="lrTb"/>
            <w:vAlign w:val="top"/>
            <w:vMerge w:val="continue"/>
          </w:tcPr>
          <w:p/>
        </w:tc>
      </w:tr>
      <w:tr>
        <w:trPr>
          <w:trHeight w:val="91" w:hRule="exact"/>
        </w:trPr>
        <w:tc>
          <w:tcPr>
            <w:gridSpan w:val="2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top"/>
            <w:shd w:val="clear" w:color="#DCE6F0" w:fill="#DCE6F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  <w:shd w:val="clear" w:color="#DCE6F0" w:fill="#DCE6F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DCE6F0" w:fill="#DCE6F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top"/>
            <w:shd w:val="clear" w:color="#C5D9F0" w:fill="#C5D9F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9" w:color="#000000"/>
              <w:right w:val="none" w:sz="0" w:color="#000000"/>
            </w:tcBorders>
            <w:tcW w:w="15807" w:type="auto"/>
            <w:textDirection w:val="lrTb"/>
            <w:vAlign w:val="top"/>
            <w:vMerge w:val="continue"/>
          </w:tcPr>
          <w:p/>
        </w:tc>
      </w:tr>
      <w:tr>
        <w:trPr>
          <w:trHeight w:val="230" w:hRule="exact"/>
        </w:trPr>
        <w:tc>
          <w:tcPr>
            <w:gridSpan w:val="2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tabs>
                <w:tab w:val="right" w:leader="none" w:pos="5204"/>
              </w:tabs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Rozdíl p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říjm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ů a výdaj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ů</w:t>
            </w:r>
            <w:r>
              <w:rPr>
                <w:b w:val="true"/>
                <w:color w:val="#FF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ab/>
            </w:r>
            <w:r>
              <w:rPr>
                <w:b w:val="true"/>
                <w:color w:val="#FF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-889 557 K</w:t>
            </w:r>
            <w:r>
              <w:rPr>
                <w:b w:val="true"/>
                <w:color w:val="#FF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1 310 152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140 345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center"/>
          </w:tcPr>
          <w:p>
            <w:pPr>
              <w:ind w:right="33" w:left="0" w:firstLine="0"/>
              <w:spacing w:before="0" w:after="0" w:line="240" w:lineRule="auto"/>
              <w:jc w:val="right"/>
              <w:rPr>
                <w:b w:val="true"/>
                <w:color w:val="#FF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FF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-190 000 K</w:t>
            </w:r>
            <w:r>
              <w:rPr>
                <w:b w:val="true"/>
                <w:color w:val="#FF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370 940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9" w:color="#000000"/>
              <w:right w:val="none" w:sz="0" w:color="#000000"/>
            </w:tcBorders>
            <w:tcW w:w="15807" w:type="auto"/>
            <w:textDirection w:val="lrTb"/>
            <w:vAlign w:val="top"/>
            <w:vMerge w:val="continue"/>
          </w:tcPr>
          <w:p/>
        </w:tc>
      </w:tr>
      <w:tr>
        <w:trPr>
          <w:trHeight w:val="212" w:hRule="exact"/>
        </w:trPr>
        <w:tc>
          <w:tcPr>
            <w:gridSpan w:val="2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  <w:shd w:val="clear" w:color="#DCE6F0" w:fill="#DCE6F0"/>
          </w:tcPr>
          <w:p>
            <w:pPr>
              <w:ind w:right="0" w:left="39" w:firstLine="0"/>
              <w:spacing w:before="0" w:after="0" w:line="240" w:lineRule="auto"/>
              <w:jc w:val="left"/>
              <w:rPr>
                <w:b w:val="true"/>
                <w:i w:val="true"/>
                <w:color w:val="#000000"/>
                <w:sz w:val="15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i w:val="true"/>
                <w:color w:val="#000000"/>
                <w:sz w:val="15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Financování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  <w:shd w:val="clear" w:color="#DCE6F0" w:fill="#DCE6F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  <w:shd w:val="clear" w:color="#DCE6F0" w:fill="#DCE6F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  <w:shd w:val="clear" w:color="#FFFF00" w:fill="#FFFF0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top"/>
            <w:shd w:val="clear" w:color="#C5D9F0" w:fill="#C5D9F0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9" w:color="#000000"/>
              <w:right w:val="none" w:sz="0" w:color="#000000"/>
            </w:tcBorders>
            <w:tcW w:w="15807" w:type="auto"/>
            <w:textDirection w:val="lrTb"/>
            <w:vAlign w:val="top"/>
            <w:vMerge w:val="continue"/>
          </w:tcPr>
          <w:p/>
        </w:tc>
      </w:tr>
      <w:tr>
        <w:trPr>
          <w:trHeight w:val="220" w:hRule="exact"/>
        </w:trPr>
        <w:tc>
          <w:tcPr>
            <w:gridSpan w:val="2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tabs>
                <w:tab w:val="right" w:leader="none" w:pos="5204"/>
              </w:tabs>
              <w:rPr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  <w:t xml:space="preserve">P</w:t>
            </w:r>
            <w:r>
              <w:rPr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  <w:t xml:space="preserve">řebytek p</w:t>
            </w:r>
            <w:r>
              <w:rPr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  <w:t xml:space="preserve">ředcházejícího roku (2019)	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3 311 225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3 311 225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single" w:sz="9" w:color="#000000"/>
              <w:right w:val="none" w:sz="0" w:color="#000000"/>
            </w:tcBorders>
            <w:tcW w:w="15807" w:type="auto"/>
            <w:textDirection w:val="lrTb"/>
            <w:vAlign w:val="top"/>
            <w:vMerge w:val="continue"/>
          </w:tcPr>
          <w:p/>
        </w:tc>
      </w:tr>
      <w:tr>
        <w:trPr>
          <w:trHeight w:val="236" w:hRule="exact"/>
        </w:trPr>
        <w:tc>
          <w:tcPr>
            <w:gridSpan w:val="2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5261" w:type="auto"/>
            <w:textDirection w:val="lrTb"/>
            <w:vAlign w:val="center"/>
          </w:tcPr>
          <w:p>
            <w:pPr>
              <w:ind w:right="0" w:left="39" w:firstLine="0"/>
              <w:spacing w:before="0" w:after="0" w:line="240" w:lineRule="auto"/>
              <w:jc w:val="left"/>
              <w:tabs>
                <w:tab w:val="right" w:leader="none" w:pos="5204"/>
              </w:tabs>
              <w:rPr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  <w:t xml:space="preserve">P</w:t>
            </w:r>
            <w:r>
              <w:rPr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  <w:t xml:space="preserve">ředpokl. z</w:t>
            </w:r>
            <w:r>
              <w:rPr>
                <w:color w:val="#000000"/>
                <w:sz w:val="16"/>
                <w:lang w:val="cs-CZ"/>
                <w:spacing w:val="-5"/>
                <w:w w:val="110"/>
                <w:strike w:val="false"/>
                <w:vertAlign w:val="baseline"/>
                <w:rFonts w:ascii="Calibri" w:hAnsi="Calibri"/>
              </w:rPr>
              <w:t xml:space="preserve">ůstatek k poslednímu dni roku (2020)	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2 421 668 K</w:t>
            </w:r>
            <w:r>
              <w:rPr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34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4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21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898" w:type="auto"/>
            <w:textDirection w:val="lrTb"/>
            <w:vAlign w:val="center"/>
          </w:tcPr>
          <w:p>
            <w:pPr>
              <w:ind w:right="3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</w:pP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3 682 165 K</w:t>
            </w:r>
            <w:r>
              <w:rPr>
                <w:b w:val="true"/>
                <w:color w:val="#000000"/>
                <w:sz w:val="16"/>
                <w:lang w:val="cs-CZ"/>
                <w:spacing w:val="-4"/>
                <w:w w:val="110"/>
                <w:strike w:val="false"/>
                <w:vertAlign w:val="baseline"/>
                <w:rFonts w:ascii="Calibri" w:hAnsi="Calibri"/>
              </w:rPr>
              <w:t xml:space="preserve">č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single" w:sz="9" w:color="#000000"/>
              <w:right w:val="none" w:sz="0" w:color="#000000"/>
            </w:tcBorders>
            <w:tcW w:w="15807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204" w:line="20" w:lineRule="exact"/>
      </w:pPr>
    </w:p>
    <w:p>
      <w:pPr>
        <w:ind w:right="0" w:left="0" w:firstLine="0"/>
        <w:spacing w:before="0" w:after="0" w:line="271" w:lineRule="auto"/>
        <w:jc w:val="left"/>
        <w:rPr>
          <w:b w:val="true"/>
          <w:i w:val="true"/>
          <w:color w:val="#000000"/>
          <w:sz w:val="18"/>
          <w:lang w:val="cs-CZ"/>
          <w:spacing w:val="-2"/>
          <w:w w:val="105"/>
          <w:strike w:val="false"/>
          <w:vertAlign w:val="baseline"/>
          <w:rFonts w:ascii="Calibri" w:hAnsi="Calibri"/>
        </w:rPr>
      </w:pPr>
      <w:r>
        <w:rPr>
          <w:b w:val="true"/>
          <w:i w:val="true"/>
          <w:color w:val="#000000"/>
          <w:sz w:val="18"/>
          <w:lang w:val="cs-CZ"/>
          <w:spacing w:val="-2"/>
          <w:w w:val="105"/>
          <w:strike w:val="false"/>
          <w:vertAlign w:val="baseline"/>
          <w:rFonts w:ascii="Calibri" w:hAnsi="Calibri"/>
        </w:rPr>
        <w:t xml:space="preserve">Schváleno výkonnou radou Svazku obcí Horní Labe dne 8.9.2020 usnesením </w:t>
      </w:r>
      <w:r>
        <w:rPr>
          <w:b w:val="true"/>
          <w:i w:val="true"/>
          <w:color w:val="#000000"/>
          <w:sz w:val="18"/>
          <w:lang w:val="cs-CZ"/>
          <w:spacing w:val="-2"/>
          <w:w w:val="105"/>
          <w:strike w:val="false"/>
          <w:vertAlign w:val="baseline"/>
          <w:rFonts w:ascii="Calibri" w:hAnsi="Calibri"/>
        </w:rPr>
        <w:t xml:space="preserve">číslo 9/80/20.</w:t>
      </w:r>
    </w:p>
    <w:sectPr>
      <w:pgSz w:w="23813" w:h="16838" w:orient="landscape"/>
      <w:type w:val="nextPage"/>
      <w:textDirection w:val="lrTb"/>
      <w:pgMar w:bottom="810" w:top="1178" w:right="6812" w:left="111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