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2" w:rsidRDefault="00623200">
      <w:bookmarkStart w:id="0" w:name="_GoBack"/>
      <w:bookmarkEnd w:id="0"/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623200" w:rsidP="00623200">
      <w:pPr>
        <w:jc w:val="center"/>
        <w:rPr>
          <w:b/>
          <w:bCs/>
          <w:sz w:val="36"/>
          <w:szCs w:val="36"/>
        </w:rPr>
      </w:pPr>
      <w:r w:rsidRPr="00623200">
        <w:rPr>
          <w:b/>
          <w:bCs/>
          <w:sz w:val="36"/>
          <w:szCs w:val="36"/>
        </w:rPr>
        <w:t>Návrh rozpočtu Společenství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Pr="00623200" w:rsidRDefault="00BF52C9" w:rsidP="00623200">
      <w:r>
        <w:t>25.11.2019</w:t>
      </w:r>
    </w:p>
    <w:sectPr w:rsidR="00BF52C9" w:rsidRPr="006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0"/>
    <w:rsid w:val="00160673"/>
    <w:rsid w:val="002165B1"/>
    <w:rsid w:val="00623200"/>
    <w:rsid w:val="007C1CF6"/>
    <w:rsid w:val="00A64B72"/>
    <w:rsid w:val="00B87648"/>
    <w:rsid w:val="00BF52C9"/>
    <w:rsid w:val="00EB6B38"/>
    <w:rsid w:val="00E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9421-1BED-4F2F-8A87-B4B9ADB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CFE6-50BA-494B-8BA9-E5F89E2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Ucetni</cp:lastModifiedBy>
  <cp:revision>2</cp:revision>
  <cp:lastPrinted>2019-12-02T10:45:00Z</cp:lastPrinted>
  <dcterms:created xsi:type="dcterms:W3CDTF">2019-12-02T10:46:00Z</dcterms:created>
  <dcterms:modified xsi:type="dcterms:W3CDTF">2019-12-02T10:46:00Z</dcterms:modified>
</cp:coreProperties>
</file>